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4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03.220.01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4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A87</w:t>
            </w:r>
            <w:r>
              <w:rPr>
                <w:rFonts w:ascii="黑体" w:hAnsi="黑体" w:eastAsia="黑体"/>
                <w:sz w:val="21"/>
                <w:szCs w:val="21"/>
              </w:rPr>
              <w:fldChar w:fldCharType="end"/>
            </w:r>
            <w:bookmarkEnd w:id="1"/>
          </w:p>
        </w:tc>
      </w:tr>
    </w:tbl>
    <w:p>
      <w:pPr>
        <w:pStyle w:val="50"/>
        <w:framePr w:w="9639" w:h="624" w:hRule="exact" w:hSpace="181" w:vSpace="181" w:hAnchor="page" w:x="1305" w:y="2269"/>
      </w:pPr>
      <w:bookmarkStart w:id="2" w:name="_Hlk26473981"/>
      <w:r>
        <w:rPr>
          <w:rFonts w:hint="eastAsia"/>
        </w:rPr>
        <w:t>中华人民共和国国家标准</w:t>
      </w:r>
    </w:p>
    <w:bookmarkEnd w:id="2"/>
    <w:p>
      <w:pPr>
        <w:pStyle w:val="195"/>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6"/>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城市配送网络体系建设指南</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Guidelines for the construction of urban distribution network</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w:t>
      </w:r>
      <w:r>
        <w:rPr>
          <w:rFonts w:hint="eastAsia"/>
          <w:sz w:val="21"/>
          <w:szCs w:val="28"/>
          <w:lang w:val="en-US" w:eastAsia="zh-CN"/>
        </w:rPr>
        <w:t>5</w:t>
      </w:r>
      <w:r>
        <w:rPr>
          <w:sz w:val="21"/>
          <w:szCs w:val="28"/>
        </w:rPr>
        <w:t>.</w:t>
      </w:r>
      <w:r>
        <w:rPr>
          <w:rFonts w:hint="eastAsia"/>
          <w:sz w:val="21"/>
          <w:szCs w:val="28"/>
          <w:lang w:val="en-US" w:eastAsia="zh-CN"/>
        </w:rPr>
        <w:t>12</w:t>
      </w:r>
      <w:bookmarkStart w:id="152" w:name="_GoBack"/>
      <w:bookmarkEnd w:id="152"/>
      <w:r>
        <w:rPr>
          <w:rFonts w:hint="eastAsia"/>
          <w:sz w:val="21"/>
          <w:szCs w:val="28"/>
        </w:rPr>
        <w:t>）</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1"/>
        <w:spacing w:after="468"/>
        <w:rPr>
          <w:rFonts w:hint="eastAsia"/>
        </w:rPr>
      </w:pPr>
      <w:bookmarkStart w:id="19" w:name="BookMark1"/>
      <w:bookmarkStart w:id="20" w:name="_Toc132788692"/>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"_Toc134465479" </w:instrText>
      </w:r>
      <w:r>
        <w:fldChar w:fldCharType="separate"/>
      </w:r>
      <w:r>
        <w:rPr>
          <w:rStyle w:val="30"/>
        </w:rPr>
        <w:t>前言</w:t>
      </w:r>
      <w:r>
        <w:tab/>
      </w:r>
      <w:r>
        <w:fldChar w:fldCharType="begin"/>
      </w:r>
      <w:r>
        <w:instrText xml:space="preserve"> PAGEREF _Toc134465479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"_Toc134465480" </w:instrText>
      </w:r>
      <w:r>
        <w:fldChar w:fldCharType="separate"/>
      </w:r>
      <w:r>
        <w:rPr>
          <w:rStyle w:val="30"/>
        </w:rPr>
        <w:t>1  范围</w:t>
      </w:r>
      <w:r>
        <w:tab/>
      </w:r>
      <w:r>
        <w:fldChar w:fldCharType="begin"/>
      </w:r>
      <w:r>
        <w:instrText xml:space="preserve"> PAGEREF _Toc134465480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"_Toc134465481" </w:instrText>
      </w:r>
      <w:r>
        <w:fldChar w:fldCharType="separate"/>
      </w:r>
      <w:r>
        <w:rPr>
          <w:rStyle w:val="30"/>
        </w:rPr>
        <w:t>2  规范性引用文件</w:t>
      </w:r>
      <w:r>
        <w:tab/>
      </w:r>
      <w:r>
        <w:fldChar w:fldCharType="begin"/>
      </w:r>
      <w:r>
        <w:instrText xml:space="preserve"> PAGEREF _Toc134465481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"_Toc134465482" </w:instrText>
      </w:r>
      <w:r>
        <w:fldChar w:fldCharType="separate"/>
      </w:r>
      <w:r>
        <w:rPr>
          <w:rStyle w:val="30"/>
        </w:rPr>
        <w:t>3  术语和定义</w:t>
      </w:r>
      <w:r>
        <w:tab/>
      </w:r>
      <w:r>
        <w:fldChar w:fldCharType="begin"/>
      </w:r>
      <w:r>
        <w:instrText xml:space="preserve"> PAGEREF _Toc134465482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"_Toc134465483" </w:instrText>
      </w:r>
      <w:r>
        <w:fldChar w:fldCharType="separate"/>
      </w:r>
      <w:r>
        <w:rPr>
          <w:rStyle w:val="30"/>
        </w:rPr>
        <w:t>4  总体原则</w:t>
      </w:r>
      <w:r>
        <w:tab/>
      </w:r>
      <w:r>
        <w:fldChar w:fldCharType="begin"/>
      </w:r>
      <w:r>
        <w:instrText xml:space="preserve"> PAGEREF _Toc134465483 \h </w:instrText>
      </w:r>
      <w:r>
        <w:fldChar w:fldCharType="separate"/>
      </w:r>
      <w:r>
        <w:t>1</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"_Toc134465484" </w:instrText>
      </w:r>
      <w:r>
        <w:fldChar w:fldCharType="separate"/>
      </w:r>
      <w:r>
        <w:rPr>
          <w:rStyle w:val="30"/>
          <w14:scene3d>
            <w14:lightRig w14:rig="threePt" w14:dir="t">
              <w14:rot w14:lat="0" w14:lon="0" w14:rev="0"/>
            </w14:lightRig>
          </w14:scene3d>
        </w:rPr>
        <w:t xml:space="preserve">4.1 </w:t>
      </w:r>
      <w:r>
        <w:rPr>
          <w:rStyle w:val="30"/>
        </w:rPr>
        <w:t xml:space="preserve"> 因地制宜原则</w:t>
      </w:r>
      <w:r>
        <w:tab/>
      </w:r>
      <w:r>
        <w:fldChar w:fldCharType="begin"/>
      </w:r>
      <w:r>
        <w:instrText xml:space="preserve"> PAGEREF _Toc134465484 \h </w:instrText>
      </w:r>
      <w:r>
        <w:fldChar w:fldCharType="separate"/>
      </w:r>
      <w:r>
        <w:t>1</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"_Toc134465485" </w:instrText>
      </w:r>
      <w:r>
        <w:fldChar w:fldCharType="separate"/>
      </w:r>
      <w:r>
        <w:rPr>
          <w:rStyle w:val="30"/>
          <w14:scene3d>
            <w14:lightRig w14:rig="threePt" w14:dir="t">
              <w14:rot w14:lat="0" w14:lon="0" w14:rev="0"/>
            </w14:lightRig>
          </w14:scene3d>
        </w:rPr>
        <w:t xml:space="preserve">4.2 </w:t>
      </w:r>
      <w:r>
        <w:rPr>
          <w:rStyle w:val="30"/>
        </w:rPr>
        <w:t xml:space="preserve"> 适度超前原则</w:t>
      </w:r>
      <w:r>
        <w:tab/>
      </w:r>
      <w:r>
        <w:fldChar w:fldCharType="begin"/>
      </w:r>
      <w:r>
        <w:instrText xml:space="preserve"> PAGEREF _Toc134465485 \h </w:instrText>
      </w:r>
      <w:r>
        <w:fldChar w:fldCharType="separate"/>
      </w:r>
      <w:r>
        <w:t>1</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"_Toc134465486" </w:instrText>
      </w:r>
      <w:r>
        <w:fldChar w:fldCharType="separate"/>
      </w:r>
      <w:r>
        <w:rPr>
          <w:rStyle w:val="30"/>
          <w14:scene3d>
            <w14:lightRig w14:rig="threePt" w14:dir="t">
              <w14:rot w14:lat="0" w14:lon="0" w14:rev="0"/>
            </w14:lightRig>
          </w14:scene3d>
        </w:rPr>
        <w:t xml:space="preserve">4.3 </w:t>
      </w:r>
      <w:r>
        <w:rPr>
          <w:rStyle w:val="30"/>
        </w:rPr>
        <w:t xml:space="preserve"> 平急结合原则</w:t>
      </w:r>
      <w:r>
        <w:tab/>
      </w:r>
      <w:r>
        <w:fldChar w:fldCharType="begin"/>
      </w:r>
      <w:r>
        <w:instrText xml:space="preserve"> PAGEREF _Toc134465486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"_Toc134465487" </w:instrText>
      </w:r>
      <w:r>
        <w:fldChar w:fldCharType="separate"/>
      </w:r>
      <w:r>
        <w:rPr>
          <w:rStyle w:val="30"/>
        </w:rPr>
        <w:t>5  体系构成</w:t>
      </w:r>
      <w:r>
        <w:tab/>
      </w:r>
      <w:r>
        <w:fldChar w:fldCharType="begin"/>
      </w:r>
      <w:r>
        <w:instrText xml:space="preserve"> PAGEREF _Toc134465487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"_Toc134465488" </w:instrText>
      </w:r>
      <w:r>
        <w:fldChar w:fldCharType="separate"/>
      </w:r>
      <w:r>
        <w:rPr>
          <w:rStyle w:val="30"/>
        </w:rPr>
        <w:t>6  城市配送节点</w:t>
      </w:r>
      <w:r>
        <w:tab/>
      </w:r>
      <w:r>
        <w:fldChar w:fldCharType="begin"/>
      </w:r>
      <w:r>
        <w:instrText xml:space="preserve"> PAGEREF _Toc134465488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"_Toc134465489" </w:instrText>
      </w:r>
      <w:r>
        <w:fldChar w:fldCharType="separate"/>
      </w:r>
      <w:r>
        <w:rPr>
          <w:rStyle w:val="30"/>
          <w14:scene3d>
            <w14:lightRig w14:rig="threePt" w14:dir="t">
              <w14:rot w14:lat="0" w14:lon="0" w14:rev="0"/>
            </w14:lightRig>
          </w14:scene3d>
        </w:rPr>
        <w:t xml:space="preserve">6.1 </w:t>
      </w:r>
      <w:r>
        <w:rPr>
          <w:rStyle w:val="30"/>
        </w:rPr>
        <w:t xml:space="preserve"> 一级城市配送节点</w:t>
      </w:r>
      <w:r>
        <w:tab/>
      </w:r>
      <w:r>
        <w:fldChar w:fldCharType="begin"/>
      </w:r>
      <w:r>
        <w:instrText xml:space="preserve"> PAGEREF _Toc134465489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"_Toc134465490" </w:instrText>
      </w:r>
      <w:r>
        <w:fldChar w:fldCharType="separate"/>
      </w:r>
      <w:r>
        <w:rPr>
          <w:rStyle w:val="30"/>
        </w:rPr>
        <w:t>6.1.1  功能</w:t>
      </w:r>
      <w:r>
        <w:tab/>
      </w:r>
      <w:r>
        <w:fldChar w:fldCharType="begin"/>
      </w:r>
      <w:r>
        <w:instrText xml:space="preserve"> PAGEREF _Toc134465490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"_Toc134465491" </w:instrText>
      </w:r>
      <w:r>
        <w:fldChar w:fldCharType="separate"/>
      </w:r>
      <w:r>
        <w:rPr>
          <w:rStyle w:val="30"/>
        </w:rPr>
        <w:t>6.1.2  选址</w:t>
      </w:r>
      <w:r>
        <w:tab/>
      </w:r>
      <w:r>
        <w:fldChar w:fldCharType="begin"/>
      </w:r>
      <w:r>
        <w:instrText xml:space="preserve"> PAGEREF _Toc134465491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"_Toc134465492" </w:instrText>
      </w:r>
      <w:r>
        <w:fldChar w:fldCharType="separate"/>
      </w:r>
      <w:r>
        <w:rPr>
          <w:rStyle w:val="30"/>
        </w:rPr>
        <w:t>6.1.3  设施设备</w:t>
      </w:r>
      <w:r>
        <w:tab/>
      </w:r>
      <w:r>
        <w:fldChar w:fldCharType="begin"/>
      </w:r>
      <w:r>
        <w:instrText xml:space="preserve"> PAGEREF _Toc134465492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"_Toc134465493" </w:instrText>
      </w:r>
      <w:r>
        <w:fldChar w:fldCharType="separate"/>
      </w:r>
      <w:r>
        <w:rPr>
          <w:rStyle w:val="30"/>
          <w14:scene3d>
            <w14:lightRig w14:rig="threePt" w14:dir="t">
              <w14:rot w14:lat="0" w14:lon="0" w14:rev="0"/>
            </w14:lightRig>
          </w14:scene3d>
        </w:rPr>
        <w:t xml:space="preserve">6.2 </w:t>
      </w:r>
      <w:r>
        <w:rPr>
          <w:rStyle w:val="30"/>
        </w:rPr>
        <w:t xml:space="preserve"> 二级城市配送节点</w:t>
      </w:r>
      <w:r>
        <w:tab/>
      </w:r>
      <w:r>
        <w:fldChar w:fldCharType="begin"/>
      </w:r>
      <w:r>
        <w:instrText xml:space="preserve"> PAGEREF _Toc134465493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"_Toc134465494" </w:instrText>
      </w:r>
      <w:r>
        <w:fldChar w:fldCharType="separate"/>
      </w:r>
      <w:r>
        <w:rPr>
          <w:rStyle w:val="30"/>
        </w:rPr>
        <w:t>6.2.1  功能</w:t>
      </w:r>
      <w:r>
        <w:tab/>
      </w:r>
      <w:r>
        <w:fldChar w:fldCharType="begin"/>
      </w:r>
      <w:r>
        <w:instrText xml:space="preserve"> PAGEREF _Toc134465494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"_Toc134465495" </w:instrText>
      </w:r>
      <w:r>
        <w:fldChar w:fldCharType="separate"/>
      </w:r>
      <w:r>
        <w:rPr>
          <w:rStyle w:val="30"/>
        </w:rPr>
        <w:t>6.2.2  选址</w:t>
      </w:r>
      <w:r>
        <w:tab/>
      </w:r>
      <w:r>
        <w:fldChar w:fldCharType="begin"/>
      </w:r>
      <w:r>
        <w:instrText xml:space="preserve"> PAGEREF _Toc134465495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"_Toc134465496" </w:instrText>
      </w:r>
      <w:r>
        <w:fldChar w:fldCharType="separate"/>
      </w:r>
      <w:r>
        <w:rPr>
          <w:rStyle w:val="30"/>
        </w:rPr>
        <w:t>6.2.3  设施设备</w:t>
      </w:r>
      <w:r>
        <w:tab/>
      </w:r>
      <w:r>
        <w:fldChar w:fldCharType="begin"/>
      </w:r>
      <w:r>
        <w:instrText xml:space="preserve"> PAGEREF _Toc134465496 \h </w:instrText>
      </w:r>
      <w:r>
        <w:fldChar w:fldCharType="separate"/>
      </w:r>
      <w:r>
        <w:t>3</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"_Toc134465497" </w:instrText>
      </w:r>
      <w:r>
        <w:fldChar w:fldCharType="separate"/>
      </w:r>
      <w:r>
        <w:rPr>
          <w:rStyle w:val="30"/>
          <w14:scene3d>
            <w14:lightRig w14:rig="threePt" w14:dir="t">
              <w14:rot w14:lat="0" w14:lon="0" w14:rev="0"/>
            </w14:lightRig>
          </w14:scene3d>
        </w:rPr>
        <w:t xml:space="preserve">6.3 </w:t>
      </w:r>
      <w:r>
        <w:rPr>
          <w:rStyle w:val="30"/>
        </w:rPr>
        <w:t xml:space="preserve"> 三级城市配送节点</w:t>
      </w:r>
      <w:r>
        <w:tab/>
      </w:r>
      <w:r>
        <w:fldChar w:fldCharType="begin"/>
      </w:r>
      <w:r>
        <w:instrText xml:space="preserve"> PAGEREF _Toc134465497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"_Toc134465498" </w:instrText>
      </w:r>
      <w:r>
        <w:fldChar w:fldCharType="separate"/>
      </w:r>
      <w:r>
        <w:rPr>
          <w:rStyle w:val="30"/>
        </w:rPr>
        <w:t>6.3.1  功能</w:t>
      </w:r>
      <w:r>
        <w:tab/>
      </w:r>
      <w:r>
        <w:fldChar w:fldCharType="begin"/>
      </w:r>
      <w:r>
        <w:instrText xml:space="preserve"> PAGEREF _Toc134465498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"_Toc134465499" </w:instrText>
      </w:r>
      <w:r>
        <w:fldChar w:fldCharType="separate"/>
      </w:r>
      <w:r>
        <w:rPr>
          <w:rStyle w:val="30"/>
        </w:rPr>
        <w:t>6.3.2  选址</w:t>
      </w:r>
      <w:r>
        <w:tab/>
      </w:r>
      <w:r>
        <w:fldChar w:fldCharType="begin"/>
      </w:r>
      <w:r>
        <w:instrText xml:space="preserve"> PAGEREF _Toc134465499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"_Toc134465500" </w:instrText>
      </w:r>
      <w:r>
        <w:fldChar w:fldCharType="separate"/>
      </w:r>
      <w:r>
        <w:rPr>
          <w:rStyle w:val="30"/>
        </w:rPr>
        <w:t>6.3.3  设施设备</w:t>
      </w:r>
      <w:r>
        <w:tab/>
      </w:r>
      <w:r>
        <w:fldChar w:fldCharType="begin"/>
      </w:r>
      <w:r>
        <w:instrText xml:space="preserve"> PAGEREF _Toc134465500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"_Toc134465501" </w:instrText>
      </w:r>
      <w:r>
        <w:fldChar w:fldCharType="separate"/>
      </w:r>
      <w:r>
        <w:rPr>
          <w:rStyle w:val="30"/>
        </w:rPr>
        <w:t>7  城市配送通道</w:t>
      </w:r>
      <w:r>
        <w:tab/>
      </w:r>
      <w:r>
        <w:fldChar w:fldCharType="begin"/>
      </w:r>
      <w:r>
        <w:instrText xml:space="preserve"> PAGEREF _Toc134465501 \h </w:instrText>
      </w:r>
      <w:r>
        <w:fldChar w:fldCharType="separate"/>
      </w:r>
      <w:r>
        <w:t>3</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"_Toc134465502" </w:instrText>
      </w:r>
      <w:r>
        <w:fldChar w:fldCharType="separate"/>
      </w:r>
      <w:r>
        <w:rPr>
          <w:rStyle w:val="30"/>
          <w14:scene3d>
            <w14:lightRig w14:rig="threePt" w14:dir="t">
              <w14:rot w14:lat="0" w14:lon="0" w14:rev="0"/>
            </w14:lightRig>
          </w14:scene3d>
        </w:rPr>
        <w:t xml:space="preserve">7.1 </w:t>
      </w:r>
      <w:r>
        <w:rPr>
          <w:rStyle w:val="30"/>
        </w:rPr>
        <w:t xml:space="preserve"> 功能</w:t>
      </w:r>
      <w:r>
        <w:tab/>
      </w:r>
      <w:r>
        <w:fldChar w:fldCharType="begin"/>
      </w:r>
      <w:r>
        <w:instrText xml:space="preserve"> PAGEREF _Toc134465502 \h </w:instrText>
      </w:r>
      <w:r>
        <w:fldChar w:fldCharType="separate"/>
      </w:r>
      <w:r>
        <w:t>3</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"_Toc134465503" </w:instrText>
      </w:r>
      <w:r>
        <w:fldChar w:fldCharType="separate"/>
      </w:r>
      <w:r>
        <w:rPr>
          <w:rStyle w:val="30"/>
          <w14:scene3d>
            <w14:lightRig w14:rig="threePt" w14:dir="t">
              <w14:rot w14:lat="0" w14:lon="0" w14:rev="0"/>
            </w14:lightRig>
          </w14:scene3d>
        </w:rPr>
        <w:t xml:space="preserve">7.2 </w:t>
      </w:r>
      <w:r>
        <w:rPr>
          <w:rStyle w:val="30"/>
        </w:rPr>
        <w:t xml:space="preserve"> 布设</w:t>
      </w:r>
      <w:r>
        <w:tab/>
      </w:r>
      <w:r>
        <w:fldChar w:fldCharType="begin"/>
      </w:r>
      <w:r>
        <w:instrText xml:space="preserve"> PAGEREF _Toc134465503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"_Toc134465504" </w:instrText>
      </w:r>
      <w:r>
        <w:fldChar w:fldCharType="separate"/>
      </w:r>
      <w:r>
        <w:rPr>
          <w:rStyle w:val="30"/>
        </w:rPr>
        <w:t>8  组织实施</w:t>
      </w:r>
      <w:r>
        <w:tab/>
      </w:r>
      <w:r>
        <w:fldChar w:fldCharType="begin"/>
      </w:r>
      <w:r>
        <w:instrText xml:space="preserve"> PAGEREF _Toc134465504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"_Toc134465505" </w:instrText>
      </w:r>
      <w:r>
        <w:fldChar w:fldCharType="separate"/>
      </w:r>
      <w:r>
        <w:rPr>
          <w:rStyle w:val="30"/>
        </w:rPr>
        <w:t>参考文献</w:t>
      </w:r>
      <w:r>
        <w:tab/>
      </w:r>
      <w:r>
        <w:fldChar w:fldCharType="begin"/>
      </w:r>
      <w:r>
        <w:instrText xml:space="preserve"> PAGEREF _Toc134465505 \h </w:instrText>
      </w:r>
      <w:r>
        <w:fldChar w:fldCharType="separate"/>
      </w:r>
      <w:r>
        <w:t>5</w:t>
      </w:r>
      <w:r>
        <w:fldChar w:fldCharType="end"/>
      </w:r>
      <w:r>
        <w:fldChar w:fldCharType="end"/>
      </w:r>
    </w:p>
    <w:p>
      <w:pPr>
        <w:pStyle w:val="91"/>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9"/>
    <w:p>
      <w:pPr>
        <w:pStyle w:val="89"/>
        <w:spacing w:before="900" w:after="468"/>
      </w:pPr>
      <w:bookmarkStart w:id="21" w:name="_Toc134465479"/>
      <w:bookmarkStart w:id="22" w:name="BookMark2"/>
      <w:r>
        <w:rPr>
          <w:spacing w:val="320"/>
        </w:rPr>
        <w:t>前</w:t>
      </w:r>
      <w:r>
        <w:t>言</w:t>
      </w:r>
      <w:bookmarkEnd w:id="20"/>
      <w:bookmarkEnd w:id="21"/>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本文件由中华人民共和国商务部提出并归口。</w:t>
      </w:r>
    </w:p>
    <w:p>
      <w:pPr>
        <w:pStyle w:val="56"/>
        <w:ind w:firstLine="420"/>
      </w:pPr>
      <w:r>
        <w:rPr>
          <w:rFonts w:hint="eastAsia"/>
        </w:rPr>
        <w:t>本文件起草单位：中国仓储与配送协会、上海商学院商业发展研究院、上海市政工程设计研究总院（集团）有限公司、芜湖安得智联科技有限公司、浙江银轮普天供应链管理有限公司、淄博职业学院工商管理学院、交通运输部公路科学研究院、山东雅利安供应链管理集团有限公司、万科物流发展有限公司、北京京邦达贸易有限公司、上海标准与质量研究院、苏州得尔达国际物流有限公司、深圳市都市交通规划设计研究院有限公司、大北农集团北京农顺物流管理科技有限公司、山东草根即配物流科技有限公司、唯捷（厦门）供应链管理有限公司等。</w:t>
      </w:r>
    </w:p>
    <w:p>
      <w:pPr>
        <w:pStyle w:val="56"/>
        <w:ind w:firstLine="420"/>
      </w:pPr>
      <w:r>
        <w:rPr>
          <w:rFonts w:hint="eastAsia"/>
        </w:rPr>
        <w:t>本文件主要起草人：</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4CD279CE60F74DA0A6D22EB8DC67BB02"/>
        </w:placeholder>
      </w:sdtPr>
      <w:sdtContent>
        <w:p>
          <w:pPr>
            <w:pStyle w:val="177"/>
            <w:spacing w:before="312" w:beforeLines="100" w:after="686" w:afterLines="220"/>
          </w:pPr>
          <w:bookmarkStart w:id="24" w:name="NEW_STAND_NAME"/>
          <w:r>
            <w:rPr>
              <w:rFonts w:hint="eastAsia"/>
            </w:rPr>
            <w:t>城市配送网络体系建设指南</w:t>
          </w:r>
        </w:p>
      </w:sdtContent>
    </w:sdt>
    <w:bookmarkEnd w:id="24"/>
    <w:p>
      <w:pPr>
        <w:pStyle w:val="104"/>
        <w:spacing w:before="312" w:after="312"/>
      </w:pPr>
      <w:bookmarkStart w:id="25" w:name="_Toc26648465"/>
      <w:bookmarkStart w:id="26" w:name="_Toc24884211"/>
      <w:bookmarkStart w:id="27" w:name="_Toc17233325"/>
      <w:bookmarkStart w:id="28" w:name="_Toc26718930"/>
      <w:bookmarkStart w:id="29" w:name="_Toc24884218"/>
      <w:bookmarkStart w:id="30" w:name="_Toc132788693"/>
      <w:bookmarkStart w:id="31" w:name="_Toc17233333"/>
      <w:bookmarkStart w:id="32" w:name="_Toc134465480"/>
      <w:bookmarkStart w:id="33" w:name="_Toc26986771"/>
      <w:bookmarkStart w:id="34" w:name="_Toc97190718"/>
      <w:bookmarkStart w:id="35" w:name="_Toc26986530"/>
      <w:r>
        <w:rPr>
          <w:rFonts w:hint="eastAsia"/>
        </w:rPr>
        <w:t>范围</w:t>
      </w:r>
      <w:bookmarkEnd w:id="25"/>
      <w:bookmarkEnd w:id="26"/>
      <w:bookmarkEnd w:id="27"/>
      <w:bookmarkEnd w:id="28"/>
      <w:bookmarkEnd w:id="29"/>
      <w:bookmarkEnd w:id="30"/>
      <w:bookmarkEnd w:id="31"/>
      <w:bookmarkEnd w:id="32"/>
      <w:bookmarkEnd w:id="33"/>
      <w:bookmarkEnd w:id="34"/>
      <w:bookmarkEnd w:id="35"/>
    </w:p>
    <w:p>
      <w:pPr>
        <w:pStyle w:val="56"/>
        <w:ind w:firstLine="420"/>
      </w:pPr>
      <w:bookmarkStart w:id="36" w:name="_Toc17233326"/>
      <w:bookmarkStart w:id="37" w:name="_Toc24884219"/>
      <w:bookmarkStart w:id="38" w:name="_Toc24884212"/>
      <w:bookmarkStart w:id="39" w:name="_Toc26648466"/>
      <w:bookmarkStart w:id="40" w:name="_Toc17233334"/>
      <w:r>
        <w:rPr>
          <w:rFonts w:hint="eastAsia"/>
        </w:rPr>
        <w:t>本文件给出了城市配送网络体系建设的总体原则、体系构成、城市配送节点、城市配送通道、组织实施等的建设指导。</w:t>
      </w:r>
    </w:p>
    <w:p>
      <w:pPr>
        <w:pStyle w:val="56"/>
        <w:ind w:firstLine="420"/>
      </w:pPr>
      <w:r>
        <w:rPr>
          <w:rFonts w:hint="eastAsia"/>
        </w:rPr>
        <w:t>本文件适用于城市配送网络节点及通道建设与改造。</w:t>
      </w:r>
    </w:p>
    <w:p>
      <w:pPr>
        <w:pStyle w:val="104"/>
        <w:spacing w:before="312" w:after="312"/>
      </w:pPr>
      <w:bookmarkStart w:id="41" w:name="_Toc26986772"/>
      <w:bookmarkStart w:id="42" w:name="_Toc97190719"/>
      <w:bookmarkStart w:id="43" w:name="_Toc134465481"/>
      <w:bookmarkStart w:id="44" w:name="_Toc26986531"/>
      <w:bookmarkStart w:id="45" w:name="_Toc132788694"/>
      <w:bookmarkStart w:id="46" w:name="_Toc26718931"/>
      <w:r>
        <w:rPr>
          <w:rFonts w:hint="eastAsia"/>
        </w:rPr>
        <w:t>规范性引用文件</w:t>
      </w:r>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9C3D2BD1664342B4900F8C36EC35750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本文件没有规范性引用文件。</w:t>
          </w:r>
        </w:p>
      </w:sdtContent>
    </w:sdt>
    <w:p>
      <w:pPr>
        <w:pStyle w:val="104"/>
        <w:spacing w:before="312" w:after="312"/>
      </w:pPr>
      <w:bookmarkStart w:id="47" w:name="_Toc132788695"/>
      <w:bookmarkStart w:id="48" w:name="_Toc134465482"/>
      <w:bookmarkStart w:id="49" w:name="_Toc97190720"/>
      <w:r>
        <w:rPr>
          <w:rFonts w:hint="eastAsia"/>
        </w:rPr>
        <w:t>术语和定义</w:t>
      </w:r>
      <w:bookmarkEnd w:id="47"/>
      <w:bookmarkEnd w:id="48"/>
      <w:bookmarkEnd w:id="49"/>
    </w:p>
    <w:sdt>
      <w:sdtPr>
        <w:id w:val="-1909835108"/>
        <w:placeholder>
          <w:docPart w:val="9C3D2BD1664342B4900F8C36EC35750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0" w:name="_Toc26986532"/>
          <w:bookmarkEnd w:id="50"/>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城市配送 urban distribution</w:t>
      </w:r>
    </w:p>
    <w:p>
      <w:pPr>
        <w:pStyle w:val="56"/>
        <w:ind w:firstLine="420"/>
      </w:pPr>
      <w:r>
        <w:rPr>
          <w:rFonts w:hint="eastAsia"/>
        </w:rPr>
        <w:t>在城区以及市近郊区域范围内，根据客户需要，对物品进行分类、拣选、集货、包装、组配货等作业，并按时送达指定地点的物流活动。</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城市配送网络体系 urban</w:t>
      </w:r>
      <w:r>
        <w:rPr>
          <w:rFonts w:ascii="黑体" w:hAnsi="黑体" w:eastAsia="黑体"/>
        </w:rPr>
        <w:t xml:space="preserve"> </w:t>
      </w:r>
      <w:r>
        <w:rPr>
          <w:rFonts w:hint="eastAsia" w:ascii="黑体" w:hAnsi="黑体" w:eastAsia="黑体"/>
        </w:rPr>
        <w:t>distribution network system</w:t>
      </w:r>
    </w:p>
    <w:p>
      <w:pPr>
        <w:pStyle w:val="56"/>
        <w:ind w:firstLine="420"/>
      </w:pPr>
      <w:r>
        <w:rPr>
          <w:rFonts w:hint="eastAsia"/>
        </w:rPr>
        <w:t>在城区以及市近郊区域范围内，支撑城市配送物流服务的基础设施及其构成的网状结构，包括城市配送节点和城市配送通道。</w:t>
      </w:r>
    </w:p>
    <w:p>
      <w:pPr>
        <w:pStyle w:val="223"/>
        <w:ind w:left="420" w:hanging="420" w:hangingChars="200"/>
        <w:rPr>
          <w:rFonts w:ascii="黑体" w:hAnsi="黑体" w:eastAsia="黑体"/>
        </w:rPr>
      </w:pPr>
      <w:r>
        <w:rPr>
          <w:rFonts w:ascii="黑体" w:hAnsi="黑体" w:eastAsia="黑体"/>
          <w:highlight w:val="lightGray"/>
        </w:rPr>
        <w:br w:type="textWrapping"/>
      </w:r>
      <w:r>
        <w:rPr>
          <w:rFonts w:hint="eastAsia" w:ascii="黑体" w:hAnsi="黑体" w:eastAsia="黑体"/>
        </w:rPr>
        <w:t>城市配送节点 urban</w:t>
      </w:r>
      <w:r>
        <w:rPr>
          <w:rFonts w:ascii="黑体" w:hAnsi="黑体" w:eastAsia="黑体"/>
        </w:rPr>
        <w:t xml:space="preserve"> </w:t>
      </w:r>
      <w:r>
        <w:rPr>
          <w:rFonts w:hint="eastAsia" w:ascii="黑体" w:hAnsi="黑体" w:eastAsia="黑体"/>
        </w:rPr>
        <w:t>distribution</w:t>
      </w:r>
      <w:r>
        <w:rPr>
          <w:rFonts w:ascii="黑体" w:hAnsi="黑体" w:eastAsia="黑体"/>
        </w:rPr>
        <w:t xml:space="preserve"> nodes</w:t>
      </w:r>
    </w:p>
    <w:p>
      <w:pPr>
        <w:pStyle w:val="56"/>
        <w:ind w:firstLine="420"/>
      </w:pPr>
      <w:r>
        <w:rPr>
          <w:rFonts w:hint="eastAsia"/>
        </w:rPr>
        <w:t>具有满足城市一定区域物流需求与城市物流运营能力相适应的物品流通环节转运、交付场所。</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城市配送通道 urban</w:t>
      </w:r>
      <w:r>
        <w:rPr>
          <w:rFonts w:ascii="黑体" w:hAnsi="黑体" w:eastAsia="黑体"/>
        </w:rPr>
        <w:t xml:space="preserve"> </w:t>
      </w:r>
      <w:r>
        <w:rPr>
          <w:rFonts w:hint="eastAsia" w:ascii="黑体" w:hAnsi="黑体" w:eastAsia="黑体"/>
        </w:rPr>
        <w:t>distribution</w:t>
      </w:r>
      <w:r>
        <w:rPr>
          <w:rFonts w:ascii="黑体" w:hAnsi="黑体" w:eastAsia="黑体"/>
        </w:rPr>
        <w:t xml:space="preserve"> Corridor</w:t>
      </w:r>
    </w:p>
    <w:p>
      <w:pPr>
        <w:pStyle w:val="56"/>
        <w:ind w:firstLine="420"/>
        <w:rPr>
          <w:rFonts w:hAnsi="宋体"/>
        </w:rPr>
      </w:pPr>
      <w:r>
        <w:rPr>
          <w:rFonts w:hint="eastAsia"/>
        </w:rPr>
        <w:t>连接城市配送节点之间，以及与城市外部物流基础设施之间的货运路网系统。</w:t>
      </w:r>
    </w:p>
    <w:p>
      <w:pPr>
        <w:pStyle w:val="104"/>
        <w:spacing w:before="312" w:after="312"/>
      </w:pPr>
      <w:bookmarkStart w:id="51" w:name="_Toc134465483"/>
      <w:bookmarkStart w:id="52" w:name="_Toc132788696"/>
      <w:bookmarkStart w:id="53" w:name="_Toc130453915"/>
      <w:bookmarkStart w:id="54" w:name="_Toc130455409"/>
      <w:bookmarkStart w:id="55" w:name="_Toc129786953"/>
      <w:r>
        <w:rPr>
          <w:rFonts w:hint="eastAsia"/>
        </w:rPr>
        <w:t>总体原则</w:t>
      </w:r>
      <w:bookmarkEnd w:id="51"/>
      <w:bookmarkEnd w:id="52"/>
      <w:bookmarkEnd w:id="53"/>
      <w:bookmarkEnd w:id="54"/>
      <w:bookmarkEnd w:id="55"/>
    </w:p>
    <w:p>
      <w:pPr>
        <w:pStyle w:val="105"/>
        <w:spacing w:before="156" w:after="156"/>
      </w:pPr>
      <w:bookmarkStart w:id="56" w:name="_Toc129786816"/>
      <w:bookmarkStart w:id="57" w:name="_Toc134465484"/>
      <w:bookmarkStart w:id="58" w:name="_Toc132788697"/>
      <w:bookmarkStart w:id="59" w:name="_Toc129786954"/>
      <w:bookmarkStart w:id="60" w:name="_Toc130453916"/>
      <w:bookmarkStart w:id="61" w:name="_Toc130455410"/>
      <w:r>
        <w:rPr>
          <w:rFonts w:hint="eastAsia"/>
        </w:rPr>
        <w:t>因地制宜原则</w:t>
      </w:r>
      <w:bookmarkEnd w:id="56"/>
      <w:bookmarkEnd w:id="57"/>
      <w:bookmarkEnd w:id="58"/>
      <w:bookmarkEnd w:id="59"/>
      <w:bookmarkEnd w:id="60"/>
      <w:bookmarkEnd w:id="61"/>
    </w:p>
    <w:p>
      <w:pPr>
        <w:pStyle w:val="56"/>
        <w:ind w:firstLine="420"/>
      </w:pPr>
      <w:r>
        <w:rPr>
          <w:rFonts w:hint="eastAsia"/>
        </w:rPr>
        <w:t>结合城市规模、空间形态、产业布局、人口分布、对外交通、货物流向等，加强与区域、城市生产生活等空间规划衔接，统筹推进城市配送网络体系建设。</w:t>
      </w:r>
    </w:p>
    <w:p>
      <w:pPr>
        <w:pStyle w:val="105"/>
        <w:spacing w:before="156" w:after="156"/>
      </w:pPr>
      <w:bookmarkStart w:id="62" w:name="_Toc129786817"/>
      <w:bookmarkStart w:id="63" w:name="_Toc129786955"/>
      <w:bookmarkStart w:id="64" w:name="_Toc130453917"/>
      <w:bookmarkStart w:id="65" w:name="_Toc130455411"/>
      <w:bookmarkStart w:id="66" w:name="_Toc134465485"/>
      <w:bookmarkStart w:id="67" w:name="_Toc132788698"/>
      <w:r>
        <w:rPr>
          <w:rFonts w:hint="eastAsia"/>
        </w:rPr>
        <w:t>适度</w:t>
      </w:r>
      <w:bookmarkEnd w:id="62"/>
      <w:bookmarkEnd w:id="63"/>
      <w:bookmarkEnd w:id="64"/>
      <w:bookmarkEnd w:id="65"/>
      <w:bookmarkStart w:id="68" w:name="_Toc129786957"/>
      <w:bookmarkStart w:id="69" w:name="_Toc130455413"/>
      <w:bookmarkStart w:id="70" w:name="_Toc130453919"/>
      <w:bookmarkStart w:id="71" w:name="_Toc129786819"/>
      <w:r>
        <w:rPr>
          <w:rFonts w:hint="eastAsia"/>
        </w:rPr>
        <w:t>超前原则</w:t>
      </w:r>
      <w:bookmarkEnd w:id="66"/>
      <w:bookmarkEnd w:id="67"/>
      <w:bookmarkEnd w:id="68"/>
      <w:bookmarkEnd w:id="69"/>
      <w:bookmarkEnd w:id="70"/>
      <w:bookmarkEnd w:id="71"/>
    </w:p>
    <w:p>
      <w:pPr>
        <w:pStyle w:val="56"/>
        <w:ind w:firstLine="420"/>
      </w:pPr>
      <w:r>
        <w:rPr>
          <w:rFonts w:hint="eastAsia"/>
        </w:rPr>
        <w:t>结合城市空间拓展和产业人口布局优化方向，充分考虑现代科技应用及城市配送发展趋势，适度超前布设城市配送设施网络。</w:t>
      </w:r>
    </w:p>
    <w:p>
      <w:pPr>
        <w:pStyle w:val="105"/>
        <w:spacing w:before="156" w:after="156"/>
      </w:pPr>
      <w:bookmarkStart w:id="72" w:name="_Toc129786820"/>
      <w:bookmarkStart w:id="73" w:name="_Toc132788699"/>
      <w:bookmarkStart w:id="74" w:name="_Toc130453920"/>
      <w:bookmarkStart w:id="75" w:name="_Toc134465486"/>
      <w:bookmarkStart w:id="76" w:name="_Toc129786958"/>
      <w:bookmarkStart w:id="77" w:name="_Toc130455414"/>
      <w:r>
        <w:rPr>
          <w:rFonts w:hint="eastAsia"/>
        </w:rPr>
        <w:t>平急结合原则</w:t>
      </w:r>
      <w:bookmarkEnd w:id="72"/>
      <w:bookmarkEnd w:id="73"/>
      <w:bookmarkEnd w:id="74"/>
      <w:bookmarkEnd w:id="75"/>
      <w:bookmarkEnd w:id="76"/>
      <w:bookmarkEnd w:id="77"/>
    </w:p>
    <w:p>
      <w:pPr>
        <w:pStyle w:val="56"/>
        <w:ind w:firstLine="420"/>
      </w:pPr>
      <w:r>
        <w:rPr>
          <w:rFonts w:hint="eastAsia"/>
        </w:rPr>
        <w:t>充分考虑发生突发事件时城市应急配送需求，合理布设应急物流设施设备，完善城市配送平急转换机制，提升城市应急物流资源统筹调用能力。</w:t>
      </w:r>
    </w:p>
    <w:p>
      <w:pPr>
        <w:pStyle w:val="104"/>
        <w:spacing w:before="312" w:after="312"/>
      </w:pPr>
      <w:bookmarkStart w:id="78" w:name="_Toc129786959"/>
      <w:bookmarkStart w:id="79" w:name="_Toc130455415"/>
      <w:bookmarkStart w:id="80" w:name="_Toc130453921"/>
      <w:bookmarkStart w:id="81" w:name="_Toc132788700"/>
      <w:bookmarkStart w:id="82" w:name="_Toc134465487"/>
      <w:r>
        <w:rPr>
          <w:rFonts w:hint="eastAsia"/>
        </w:rPr>
        <w:t>体系</w:t>
      </w:r>
      <w:bookmarkEnd w:id="78"/>
      <w:r>
        <w:rPr>
          <w:rFonts w:hint="eastAsia"/>
        </w:rPr>
        <w:t>构成</w:t>
      </w:r>
      <w:bookmarkEnd w:id="79"/>
      <w:bookmarkEnd w:id="80"/>
      <w:bookmarkEnd w:id="81"/>
      <w:bookmarkEnd w:id="82"/>
    </w:p>
    <w:p>
      <w:pPr>
        <w:pStyle w:val="162"/>
      </w:pPr>
      <w:r>
        <w:rPr>
          <w:rFonts w:hint="eastAsia"/>
        </w:rPr>
        <w:t>城市配送网络体系由城市配送节点和城市配送通道构成，其中城市配送节点按照功能划分为一级城市配送节点、二级城市配送节点、三级城市配送节点。</w:t>
      </w:r>
    </w:p>
    <w:p>
      <w:pPr>
        <w:pStyle w:val="162"/>
      </w:pPr>
      <w:r>
        <w:rPr>
          <w:rFonts w:hint="eastAsia"/>
        </w:rPr>
        <w:t>城市配送网络规划设计宜根据城市规模、城市功能定位、人口数量、经济发展水平、交通基础设施条件、物流量等情况，选择与城市配送需求相适应的配送网络层级与各节点数量。</w:t>
      </w:r>
    </w:p>
    <w:p>
      <w:pPr>
        <w:pStyle w:val="162"/>
      </w:pPr>
      <w:r>
        <w:rPr>
          <w:rFonts w:hint="eastAsia"/>
        </w:rPr>
        <w:t>当单一节点布设面积受限时，可适当缩小节点服务半径，并增加同级节点数量。</w:t>
      </w:r>
    </w:p>
    <w:p>
      <w:pPr>
        <w:pStyle w:val="104"/>
        <w:spacing w:before="312" w:after="312"/>
      </w:pPr>
      <w:bookmarkStart w:id="83" w:name="_Toc130455416"/>
      <w:bookmarkStart w:id="84" w:name="_Toc129786962"/>
      <w:bookmarkStart w:id="85" w:name="_Toc132788701"/>
      <w:bookmarkStart w:id="86" w:name="_Toc130453922"/>
      <w:bookmarkStart w:id="87" w:name="_Toc134465488"/>
      <w:r>
        <w:rPr>
          <w:rFonts w:hint="eastAsia"/>
        </w:rPr>
        <w:t>城市配送节点</w:t>
      </w:r>
      <w:bookmarkEnd w:id="83"/>
      <w:bookmarkEnd w:id="84"/>
      <w:bookmarkEnd w:id="85"/>
      <w:bookmarkEnd w:id="86"/>
      <w:bookmarkEnd w:id="87"/>
    </w:p>
    <w:p>
      <w:pPr>
        <w:pStyle w:val="105"/>
        <w:spacing w:before="156" w:after="156"/>
      </w:pPr>
      <w:bookmarkStart w:id="88" w:name="_Toc130455417"/>
      <w:bookmarkStart w:id="89" w:name="_Toc130453923"/>
      <w:bookmarkStart w:id="90" w:name="_Toc129786963"/>
      <w:bookmarkStart w:id="91" w:name="_Toc132788702"/>
      <w:bookmarkStart w:id="92" w:name="_Toc134465489"/>
      <w:r>
        <w:rPr>
          <w:rFonts w:hint="eastAsia"/>
        </w:rPr>
        <w:t>一级城市配送节点</w:t>
      </w:r>
      <w:bookmarkEnd w:id="88"/>
      <w:bookmarkEnd w:id="89"/>
      <w:bookmarkEnd w:id="90"/>
      <w:bookmarkEnd w:id="91"/>
      <w:bookmarkEnd w:id="92"/>
    </w:p>
    <w:p>
      <w:pPr>
        <w:pStyle w:val="65"/>
        <w:spacing w:before="156" w:after="156"/>
      </w:pPr>
      <w:bookmarkStart w:id="93" w:name="_Toc130455418"/>
      <w:bookmarkStart w:id="94" w:name="_Toc132788703"/>
      <w:bookmarkStart w:id="95" w:name="_Toc134465490"/>
      <w:r>
        <w:rPr>
          <w:rFonts w:hint="eastAsia"/>
        </w:rPr>
        <w:t>功能</w:t>
      </w:r>
      <w:bookmarkEnd w:id="93"/>
      <w:bookmarkEnd w:id="94"/>
      <w:bookmarkEnd w:id="95"/>
    </w:p>
    <w:p>
      <w:pPr>
        <w:pStyle w:val="164"/>
      </w:pPr>
      <w:r>
        <w:rPr>
          <w:rFonts w:hint="eastAsia"/>
        </w:rPr>
        <w:t>一级城市配送节点宜以运输集散功能、仓储功能为主，兼具备应急保供功能。</w:t>
      </w:r>
    </w:p>
    <w:p>
      <w:pPr>
        <w:pStyle w:val="174"/>
      </w:pPr>
      <w:r>
        <w:rPr>
          <w:rFonts w:hint="eastAsia"/>
        </w:rPr>
        <w:t>运输集散功能宜包括多式联运、货物中转、分拨配送等。</w:t>
      </w:r>
    </w:p>
    <w:p>
      <w:pPr>
        <w:pStyle w:val="174"/>
      </w:pPr>
      <w:r>
        <w:rPr>
          <w:rFonts w:hint="eastAsia"/>
        </w:rPr>
        <w:t>仓储功能宜包括普通货物存储、冷藏冷冻存储、药品专业存储等。</w:t>
      </w:r>
    </w:p>
    <w:p>
      <w:pPr>
        <w:pStyle w:val="174"/>
      </w:pPr>
      <w:r>
        <w:rPr>
          <w:rFonts w:hint="eastAsia"/>
        </w:rPr>
        <w:t>应急保供功能宜包括应急物资存储、调拨、闭环接驳等。</w:t>
      </w:r>
    </w:p>
    <w:p>
      <w:pPr>
        <w:pStyle w:val="164"/>
      </w:pPr>
      <w:r>
        <w:rPr>
          <w:rFonts w:hint="eastAsia"/>
        </w:rPr>
        <w:t>满足以上功能的快递一级分拨中心、商超配送总仓及区域配送中心、生产制造企业总仓及区域配送中心、依托物流枢纽及港口设置的城市配送中心、依托大型建材、家具家电、商品汽车、农贸市场等交易聚集区设置的物流中心或集散地等可视为一级城市配送节点。</w:t>
      </w:r>
    </w:p>
    <w:p>
      <w:pPr>
        <w:pStyle w:val="65"/>
        <w:spacing w:before="156" w:after="156"/>
      </w:pPr>
      <w:bookmarkStart w:id="96" w:name="_Toc132788704"/>
      <w:bookmarkStart w:id="97" w:name="_Toc134465491"/>
      <w:r>
        <w:rPr>
          <w:rFonts w:hint="eastAsia"/>
        </w:rPr>
        <w:t>选址</w:t>
      </w:r>
      <w:bookmarkEnd w:id="96"/>
      <w:bookmarkEnd w:id="97"/>
    </w:p>
    <w:p>
      <w:pPr>
        <w:pStyle w:val="56"/>
        <w:ind w:firstLine="420"/>
      </w:pPr>
      <w:r>
        <w:rPr>
          <w:rFonts w:hint="eastAsia"/>
        </w:rPr>
        <w:t>一级城市配送节点宜充分结合城市空间拓展方向和产业布局，宜优先依托城市物流枢纽、货运枢纽、多式联运基地等布设，毗邻城市交通枢纽和对外多式联运设施，拥有干线运输条件，具有大规模货物快速集散、中转能力。一般情况下，一级城市配送节点服务半径宜大于20</w:t>
      </w:r>
      <w:r>
        <w:rPr>
          <w:rFonts w:hint="eastAsia" w:hAnsi="宋体"/>
          <w:szCs w:val="21"/>
        </w:rPr>
        <w:t>km</w:t>
      </w:r>
      <w:r>
        <w:rPr>
          <w:rFonts w:hint="eastAsia"/>
        </w:rPr>
        <w:t>。</w:t>
      </w:r>
    </w:p>
    <w:p>
      <w:pPr>
        <w:pStyle w:val="65"/>
        <w:spacing w:before="156" w:after="156"/>
      </w:pPr>
      <w:bookmarkStart w:id="98" w:name="_Toc132788705"/>
      <w:bookmarkStart w:id="99" w:name="_Toc134465492"/>
      <w:r>
        <w:rPr>
          <w:rFonts w:hint="eastAsia"/>
        </w:rPr>
        <w:t>设施设备</w:t>
      </w:r>
      <w:bookmarkEnd w:id="98"/>
      <w:bookmarkEnd w:id="99"/>
    </w:p>
    <w:p>
      <w:pPr>
        <w:pStyle w:val="164"/>
      </w:pPr>
      <w:r>
        <w:rPr>
          <w:rFonts w:hint="eastAsia"/>
        </w:rPr>
        <w:t>宜采用作业型或综合型物流建筑，规划仓库、堆场、停车场等功能区，根据业务需要预留甩挂区、货物换装区。总占地规模不宜小</w:t>
      </w:r>
      <w:r>
        <w:rPr>
          <w:rFonts w:hint="eastAsia"/>
          <w:lang w:eastAsia="zh-CN"/>
        </w:rPr>
        <w:t>于</w:t>
      </w:r>
      <w:r>
        <w:t>65000</w:t>
      </w:r>
      <w:r>
        <w:rPr>
          <w:rFonts w:hint="eastAsia"/>
        </w:rPr>
        <w:t>㎡，仓库建筑面积不宜小于30000㎡。配套办公面积不宜小于总建筑面积15%。</w:t>
      </w:r>
    </w:p>
    <w:p>
      <w:pPr>
        <w:pStyle w:val="164"/>
      </w:pPr>
      <w:r>
        <w:rPr>
          <w:rFonts w:hint="eastAsia"/>
        </w:rPr>
        <w:t>宜配有高速、高效自动分拣系统，满足与近期及远期业务相匹配的供电等条件。</w:t>
      </w:r>
    </w:p>
    <w:p>
      <w:pPr>
        <w:pStyle w:val="105"/>
        <w:spacing w:before="156" w:after="156"/>
      </w:pPr>
      <w:bookmarkStart w:id="100" w:name="_Toc132788706"/>
      <w:bookmarkStart w:id="101" w:name="_Toc134465493"/>
      <w:r>
        <w:rPr>
          <w:rFonts w:hint="eastAsia"/>
        </w:rPr>
        <w:t>二级城市配送节点</w:t>
      </w:r>
      <w:bookmarkEnd w:id="100"/>
      <w:bookmarkEnd w:id="101"/>
    </w:p>
    <w:p>
      <w:pPr>
        <w:pStyle w:val="65"/>
        <w:spacing w:before="156" w:after="156"/>
      </w:pPr>
      <w:bookmarkStart w:id="102" w:name="_Toc132788707"/>
      <w:bookmarkStart w:id="103" w:name="_Toc134465494"/>
      <w:r>
        <w:rPr>
          <w:rFonts w:hint="eastAsia"/>
        </w:rPr>
        <w:t>功能</w:t>
      </w:r>
      <w:bookmarkEnd w:id="102"/>
      <w:bookmarkEnd w:id="103"/>
    </w:p>
    <w:p>
      <w:pPr>
        <w:pStyle w:val="164"/>
      </w:pPr>
      <w:r>
        <w:rPr>
          <w:rFonts w:hint="eastAsia"/>
        </w:rPr>
        <w:t>二级城市配送节点宜以分拣配送为主要功能，兼具备中转存储、流通加工等功能。</w:t>
      </w:r>
    </w:p>
    <w:p>
      <w:pPr>
        <w:pStyle w:val="164"/>
      </w:pPr>
      <w:r>
        <w:rPr>
          <w:rFonts w:hint="eastAsia"/>
        </w:rPr>
        <w:t>满足以上功能的商超配送中心、快递二级分拨中心、生产制造企业配送中心、城市内部设置的片区转运中心与集配中心、依托中央厨房设置的配送中心等可视为二级城市配送节点。</w:t>
      </w:r>
    </w:p>
    <w:p>
      <w:pPr>
        <w:pStyle w:val="65"/>
        <w:spacing w:before="156" w:after="156"/>
      </w:pPr>
      <w:bookmarkStart w:id="104" w:name="_Toc130455423"/>
      <w:bookmarkStart w:id="105" w:name="_Toc132788708"/>
      <w:bookmarkStart w:id="106" w:name="_Toc134465495"/>
      <w:r>
        <w:rPr>
          <w:rFonts w:hint="eastAsia"/>
        </w:rPr>
        <w:t>选址</w:t>
      </w:r>
      <w:bookmarkEnd w:id="104"/>
      <w:bookmarkEnd w:id="105"/>
      <w:bookmarkEnd w:id="106"/>
    </w:p>
    <w:p>
      <w:pPr>
        <w:pStyle w:val="164"/>
      </w:pPr>
      <w:r>
        <w:rPr>
          <w:rFonts w:hint="eastAsia"/>
        </w:rPr>
        <w:t>宜按照城市行政区划，毗邻城市核心功能区和</w:t>
      </w:r>
      <w:r>
        <w:rPr>
          <w:rFonts w:hint="eastAsia" w:hAnsi="宋体"/>
        </w:rPr>
        <w:t>产业集聚区，</w:t>
      </w:r>
      <w:r>
        <w:rPr>
          <w:rFonts w:hint="eastAsia"/>
        </w:rPr>
        <w:t>结合城市内部存量物流设施，邻近城郊快速路或城市主干道设置二级城市配送节点。</w:t>
      </w:r>
    </w:p>
    <w:p>
      <w:pPr>
        <w:pStyle w:val="164"/>
        <w:rPr>
          <w:highlight w:val="none"/>
        </w:rPr>
      </w:pPr>
      <w:r>
        <w:rPr>
          <w:rFonts w:hint="eastAsia" w:hAnsi="宋体"/>
          <w:szCs w:val="21"/>
          <w:highlight w:val="none"/>
        </w:rPr>
        <w:t>二级城市配送节点的服务半径宜小于</w:t>
      </w:r>
      <w:r>
        <w:rPr>
          <w:rFonts w:hAnsi="宋体"/>
          <w:szCs w:val="21"/>
          <w:highlight w:val="none"/>
        </w:rPr>
        <w:t>20</w:t>
      </w:r>
      <w:r>
        <w:rPr>
          <w:rFonts w:hint="eastAsia" w:hAnsi="宋体"/>
          <w:szCs w:val="21"/>
          <w:highlight w:val="none"/>
        </w:rPr>
        <w:t>km。</w:t>
      </w:r>
      <w:r>
        <w:rPr>
          <w:rFonts w:hint="eastAsia"/>
          <w:highlight w:val="none"/>
        </w:rPr>
        <w:t>城区半径小于1</w:t>
      </w:r>
      <w:r>
        <w:rPr>
          <w:highlight w:val="none"/>
        </w:rPr>
        <w:t>5</w:t>
      </w:r>
      <w:r>
        <w:rPr>
          <w:rFonts w:hint="eastAsia" w:hAnsi="宋体"/>
          <w:szCs w:val="21"/>
          <w:highlight w:val="none"/>
        </w:rPr>
        <w:t xml:space="preserve"> km</w:t>
      </w:r>
      <w:r>
        <w:rPr>
          <w:rFonts w:hint="eastAsia"/>
          <w:highlight w:val="none"/>
        </w:rPr>
        <w:t>、城区人口数量小于3</w:t>
      </w:r>
      <w:r>
        <w:rPr>
          <w:highlight w:val="none"/>
        </w:rPr>
        <w:t>00</w:t>
      </w:r>
      <w:r>
        <w:rPr>
          <w:rFonts w:hint="eastAsia"/>
          <w:highlight w:val="none"/>
        </w:rPr>
        <w:t>万、以消费为主的城市，宜将二级节点与一级节点合并设置，形成两级配送体系。中西部地区或城市交通基础设施完善的城市可</w:t>
      </w:r>
      <w:r>
        <w:rPr>
          <w:rFonts w:hint="eastAsia"/>
          <w:highlight w:val="none"/>
          <w:lang w:eastAsia="zh-CN"/>
        </w:rPr>
        <w:t>在上述设置基础上</w:t>
      </w:r>
      <w:r>
        <w:rPr>
          <w:rFonts w:hint="eastAsia"/>
          <w:highlight w:val="none"/>
        </w:rPr>
        <w:t>适当放宽合并条件。</w:t>
      </w:r>
    </w:p>
    <w:p>
      <w:pPr>
        <w:pStyle w:val="164"/>
      </w:pPr>
      <w:r>
        <w:rPr>
          <w:rFonts w:hint="eastAsia"/>
        </w:rPr>
        <w:t>二级城市配送节点与一级城市配送节点合并设置时宜规划设计独立功能区域，分区管理。</w:t>
      </w:r>
    </w:p>
    <w:p>
      <w:pPr>
        <w:pStyle w:val="65"/>
        <w:spacing w:before="156" w:after="156"/>
      </w:pPr>
      <w:bookmarkStart w:id="107" w:name="_Toc134465496"/>
      <w:bookmarkStart w:id="108" w:name="_Toc132788709"/>
      <w:bookmarkStart w:id="109" w:name="_Toc130455424"/>
      <w:r>
        <w:rPr>
          <w:rFonts w:hint="eastAsia"/>
        </w:rPr>
        <w:t>设施设备</w:t>
      </w:r>
      <w:bookmarkEnd w:id="107"/>
      <w:bookmarkEnd w:id="108"/>
      <w:bookmarkEnd w:id="109"/>
    </w:p>
    <w:p>
      <w:pPr>
        <w:pStyle w:val="164"/>
      </w:pPr>
      <w:r>
        <w:rPr>
          <w:rFonts w:hint="eastAsia"/>
        </w:rPr>
        <w:t>宜采用作业型物流建筑，并设有装卸站台。配套办公面积不宜小于总建筑面积5%。</w:t>
      </w:r>
    </w:p>
    <w:p>
      <w:pPr>
        <w:pStyle w:val="164"/>
      </w:pPr>
      <w:r>
        <w:rPr>
          <w:rFonts w:hint="eastAsia"/>
        </w:rPr>
        <w:t>宜配备必要的流通加工设备，满足与近期及远期业务相匹配的供电等条件。</w:t>
      </w:r>
    </w:p>
    <w:p>
      <w:pPr>
        <w:pStyle w:val="105"/>
        <w:spacing w:before="156" w:after="156"/>
      </w:pPr>
      <w:bookmarkStart w:id="110" w:name="_Toc132788710"/>
      <w:bookmarkStart w:id="111" w:name="_Toc129786965"/>
      <w:bookmarkStart w:id="112" w:name="_Toc130453925"/>
      <w:bookmarkStart w:id="113" w:name="_Toc130455425"/>
      <w:bookmarkStart w:id="114" w:name="_Toc134465497"/>
      <w:r>
        <w:rPr>
          <w:rFonts w:hint="eastAsia"/>
        </w:rPr>
        <w:t>三级城市配送节点</w:t>
      </w:r>
      <w:bookmarkEnd w:id="110"/>
      <w:bookmarkEnd w:id="111"/>
      <w:bookmarkEnd w:id="112"/>
      <w:bookmarkEnd w:id="113"/>
      <w:bookmarkEnd w:id="114"/>
    </w:p>
    <w:p>
      <w:pPr>
        <w:pStyle w:val="65"/>
        <w:spacing w:before="156" w:after="156"/>
      </w:pPr>
      <w:bookmarkStart w:id="115" w:name="_Toc130455426"/>
      <w:bookmarkStart w:id="116" w:name="_Toc132788711"/>
      <w:bookmarkStart w:id="117" w:name="_Toc134465498"/>
      <w:r>
        <w:rPr>
          <w:rFonts w:hint="eastAsia"/>
        </w:rPr>
        <w:t>功能</w:t>
      </w:r>
      <w:bookmarkEnd w:id="115"/>
      <w:bookmarkEnd w:id="116"/>
      <w:bookmarkEnd w:id="117"/>
    </w:p>
    <w:p>
      <w:pPr>
        <w:pStyle w:val="56"/>
        <w:ind w:firstLine="420"/>
      </w:pPr>
      <w:r>
        <w:rPr>
          <w:rFonts w:hint="eastAsia"/>
        </w:rPr>
        <w:t>三级城市配送节点宜以末端短距离小批量多批次配送服务为主。快递网点、商超库房、网格仓、前置仓等小型配送设施可作为三级城市配送节点，快递柜、自提点等宜作为三级城市配送节点的服务延申。</w:t>
      </w:r>
    </w:p>
    <w:p>
      <w:pPr>
        <w:pStyle w:val="65"/>
        <w:spacing w:before="156" w:after="156"/>
      </w:pPr>
      <w:bookmarkStart w:id="118" w:name="_Toc130455427"/>
      <w:bookmarkStart w:id="119" w:name="_Toc132788712"/>
      <w:bookmarkStart w:id="120" w:name="_Toc134465499"/>
      <w:r>
        <w:rPr>
          <w:rFonts w:hint="eastAsia"/>
        </w:rPr>
        <w:t>选址</w:t>
      </w:r>
      <w:bookmarkEnd w:id="118"/>
      <w:bookmarkEnd w:id="119"/>
      <w:bookmarkEnd w:id="120"/>
    </w:p>
    <w:p>
      <w:pPr>
        <w:pStyle w:val="164"/>
      </w:pPr>
      <w:r>
        <w:rPr>
          <w:rFonts w:hint="eastAsia"/>
        </w:rPr>
        <w:t>宜选择在交通便利、人口和商业活动集中区域，优先考虑利用商超、快递服务站等城市商业网点、社区物管用房等设施设置三级城市配送节点。</w:t>
      </w:r>
    </w:p>
    <w:p>
      <w:pPr>
        <w:pStyle w:val="164"/>
      </w:pPr>
      <w:r>
        <w:rPr>
          <w:rFonts w:hint="eastAsia"/>
        </w:rPr>
        <w:t>三级城市配送节点及周边宜具有停车、充电、货物堆存等便于物流配送作业的场地条件。</w:t>
      </w:r>
    </w:p>
    <w:p>
      <w:pPr>
        <w:pStyle w:val="164"/>
      </w:pPr>
      <w:r>
        <w:rPr>
          <w:rFonts w:hint="eastAsia"/>
        </w:rPr>
        <w:t>三级城市配送节点服务半径不宜大于3km。</w:t>
      </w:r>
    </w:p>
    <w:p>
      <w:pPr>
        <w:pStyle w:val="164"/>
      </w:pPr>
      <w:r>
        <w:rPr>
          <w:rFonts w:hint="eastAsia"/>
        </w:rPr>
        <w:t>三级城市配送节点的设置不宜影响附近居民生活办公。</w:t>
      </w:r>
    </w:p>
    <w:p>
      <w:pPr>
        <w:pStyle w:val="65"/>
        <w:spacing w:before="156" w:after="156"/>
      </w:pPr>
      <w:bookmarkStart w:id="121" w:name="_Toc132788713"/>
      <w:bookmarkStart w:id="122" w:name="_Toc130455428"/>
      <w:bookmarkStart w:id="123" w:name="_Toc134465500"/>
      <w:r>
        <w:rPr>
          <w:rFonts w:hint="eastAsia"/>
        </w:rPr>
        <w:t>设施设备</w:t>
      </w:r>
      <w:bookmarkEnd w:id="121"/>
      <w:bookmarkEnd w:id="122"/>
      <w:bookmarkEnd w:id="123"/>
    </w:p>
    <w:p>
      <w:pPr>
        <w:pStyle w:val="56"/>
        <w:ind w:firstLine="420"/>
      </w:pPr>
      <w:r>
        <w:rPr>
          <w:rFonts w:hint="eastAsia"/>
        </w:rPr>
        <w:t>三级城市配送节点宜具备车辆停靠及便捷装卸货条件，配备末端配送车辆充电设施设备和配送人员休憩场所。</w:t>
      </w:r>
    </w:p>
    <w:p>
      <w:pPr>
        <w:pStyle w:val="104"/>
        <w:spacing w:before="312" w:after="312"/>
      </w:pPr>
      <w:bookmarkStart w:id="124" w:name="_Toc132788714"/>
      <w:bookmarkStart w:id="125" w:name="_Toc130453926"/>
      <w:bookmarkStart w:id="126" w:name="_Toc130455429"/>
      <w:bookmarkStart w:id="127" w:name="_Toc129786966"/>
      <w:bookmarkStart w:id="128" w:name="_Toc134465501"/>
      <w:r>
        <w:rPr>
          <w:rFonts w:hint="eastAsia"/>
        </w:rPr>
        <w:t>城市配送通道</w:t>
      </w:r>
      <w:bookmarkEnd w:id="124"/>
      <w:bookmarkEnd w:id="125"/>
      <w:bookmarkEnd w:id="126"/>
      <w:bookmarkEnd w:id="127"/>
      <w:bookmarkEnd w:id="128"/>
      <w:r>
        <w:t xml:space="preserve"> </w:t>
      </w:r>
    </w:p>
    <w:p>
      <w:pPr>
        <w:pStyle w:val="105"/>
        <w:spacing w:before="156" w:after="156"/>
      </w:pPr>
      <w:bookmarkStart w:id="129" w:name="_Toc130453927"/>
      <w:bookmarkStart w:id="130" w:name="_Toc130455430"/>
      <w:bookmarkStart w:id="131" w:name="_Toc132788715"/>
      <w:bookmarkStart w:id="132" w:name="_Toc129786967"/>
      <w:bookmarkStart w:id="133" w:name="_Toc134465502"/>
      <w:r>
        <w:rPr>
          <w:rFonts w:hint="eastAsia"/>
        </w:rPr>
        <w:t>功能</w:t>
      </w:r>
      <w:bookmarkEnd w:id="129"/>
      <w:bookmarkEnd w:id="130"/>
      <w:bookmarkEnd w:id="131"/>
      <w:bookmarkEnd w:id="132"/>
      <w:bookmarkEnd w:id="133"/>
    </w:p>
    <w:p>
      <w:pPr>
        <w:pStyle w:val="56"/>
        <w:ind w:firstLine="420"/>
      </w:pPr>
      <w:r>
        <w:rPr>
          <w:rFonts w:hint="eastAsia"/>
        </w:rPr>
        <w:t>城市配送通道宜满足跨省运输大型货车与城市一级物流节点以及一二三级城市配送节点间城市配送车辆便捷通行。</w:t>
      </w:r>
    </w:p>
    <w:p>
      <w:pPr>
        <w:pStyle w:val="105"/>
        <w:spacing w:before="156" w:after="156"/>
      </w:pPr>
      <w:bookmarkStart w:id="134" w:name="_Toc129786968"/>
      <w:bookmarkStart w:id="135" w:name="_Toc130455431"/>
      <w:bookmarkStart w:id="136" w:name="_Toc130453928"/>
      <w:bookmarkStart w:id="137" w:name="_Toc132788716"/>
      <w:bookmarkStart w:id="138" w:name="_Toc134465503"/>
      <w:r>
        <w:rPr>
          <w:rFonts w:hint="eastAsia"/>
        </w:rPr>
        <w:t>布设</w:t>
      </w:r>
      <w:bookmarkEnd w:id="134"/>
      <w:bookmarkEnd w:id="135"/>
      <w:bookmarkEnd w:id="136"/>
      <w:bookmarkEnd w:id="137"/>
      <w:bookmarkEnd w:id="138"/>
    </w:p>
    <w:p>
      <w:pPr>
        <w:pStyle w:val="165"/>
      </w:pPr>
      <w:r>
        <w:rPr>
          <w:rFonts w:hint="eastAsia"/>
        </w:rPr>
        <w:t>市外通道宜满足跨省运输大型货车进入一节物流节点进行中转等物流作业需求。主要包括一级物流节点与城市环线道路、高速公路及国省干道出入口连接的道路。</w:t>
      </w:r>
    </w:p>
    <w:p>
      <w:pPr>
        <w:pStyle w:val="165"/>
      </w:pPr>
      <w:r>
        <w:rPr>
          <w:rFonts w:hint="eastAsia"/>
        </w:rPr>
        <w:t>市内通道宜结合城市规模、车流量和二三级城市配送节点分布情况，优先考虑利用现有城市道路，划定城市配送车辆可通行路网及通行时间，便利城市配送车辆通行。</w:t>
      </w:r>
    </w:p>
    <w:p>
      <w:pPr>
        <w:pStyle w:val="165"/>
      </w:pPr>
      <w:r>
        <w:rPr>
          <w:rFonts w:hint="eastAsia"/>
        </w:rPr>
        <w:t>各城市宜因地制宜，规划预留城铁、地下、无人车、无人机等新型城市配送通道。</w:t>
      </w:r>
    </w:p>
    <w:p>
      <w:pPr>
        <w:pStyle w:val="104"/>
        <w:spacing w:before="312" w:after="312"/>
      </w:pPr>
      <w:bookmarkStart w:id="139" w:name="_Toc130455432"/>
      <w:bookmarkStart w:id="140" w:name="_Toc130453929"/>
      <w:bookmarkStart w:id="141" w:name="_Toc132788717"/>
      <w:bookmarkStart w:id="142" w:name="_Toc129786969"/>
      <w:bookmarkStart w:id="143" w:name="_Toc134465504"/>
      <w:r>
        <w:rPr>
          <w:rFonts w:hint="eastAsia"/>
        </w:rPr>
        <w:t>组织实施</w:t>
      </w:r>
      <w:bookmarkEnd w:id="139"/>
      <w:bookmarkEnd w:id="140"/>
      <w:bookmarkEnd w:id="141"/>
      <w:bookmarkEnd w:id="142"/>
      <w:bookmarkEnd w:id="143"/>
    </w:p>
    <w:p>
      <w:pPr>
        <w:pStyle w:val="162"/>
      </w:pPr>
      <w:bookmarkStart w:id="144" w:name="_Toc130453930"/>
      <w:r>
        <w:rPr>
          <w:rFonts w:hint="eastAsia"/>
        </w:rPr>
        <w:t>各级城市配送节点运营主体宜制定数据统计、安全生产、绩效考核、应急响应等制度，积极采用智能化、绿色化等先进技术装备，配合行业信息监测。</w:t>
      </w:r>
      <w:bookmarkEnd w:id="144"/>
    </w:p>
    <w:p>
      <w:pPr>
        <w:pStyle w:val="162"/>
        <w:rPr>
          <w:rFonts w:ascii="黑体" w:eastAsia="黑体"/>
        </w:rPr>
      </w:pPr>
      <w:bookmarkStart w:id="145" w:name="_Toc130453931"/>
      <w:r>
        <w:rPr>
          <w:rFonts w:hint="eastAsia"/>
        </w:rPr>
        <w:t>各级城市配送节点宜具备与上下游节点对接的安防互认体系。</w:t>
      </w:r>
      <w:bookmarkEnd w:id="145"/>
    </w:p>
    <w:p>
      <w:pPr>
        <w:pStyle w:val="162"/>
        <w:rPr>
          <w:rFonts w:ascii="黑体" w:eastAsia="黑体"/>
        </w:rPr>
      </w:pPr>
      <w:bookmarkStart w:id="146" w:name="_Toc130453932"/>
      <w:r>
        <w:rPr>
          <w:rFonts w:hint="eastAsia"/>
        </w:rPr>
        <w:t>宜建立城市配送物流公共信息平台。平台宜具备供需资源匹配、设施基础信息查询、资质及信用查询、城市配送数据分析等功能。</w:t>
      </w:r>
      <w:bookmarkEnd w:id="146"/>
    </w:p>
    <w:p>
      <w:pPr>
        <w:pStyle w:val="162"/>
        <w:rPr>
          <w:rFonts w:ascii="黑体" w:eastAsia="黑体"/>
        </w:rPr>
      </w:pPr>
      <w:bookmarkStart w:id="147" w:name="_Toc130453933"/>
      <w:r>
        <w:rPr>
          <w:rFonts w:hint="eastAsia"/>
        </w:rPr>
        <w:t>各级城市配送节点运营单位宜具备公共服务能力和智能运维能力，建立健全的管理制度和保障体系，包括运营服务方案、安全管理和应急管理方案、信息管理方案、资金管理方案等，并建立相匹配的组织架构、人才队伍。</w:t>
      </w:r>
      <w:bookmarkEnd w:id="147"/>
    </w:p>
    <w:p>
      <w:pPr>
        <w:pStyle w:val="56"/>
        <w:ind w:firstLine="420"/>
      </w:pPr>
    </w:p>
    <w:p>
      <w:pPr>
        <w:pStyle w:val="56"/>
        <w:ind w:firstLine="420"/>
      </w:pPr>
    </w:p>
    <w:p>
      <w:pPr>
        <w:pStyle w:val="56"/>
        <w:ind w:firstLine="420"/>
      </w:pPr>
    </w:p>
    <w:bookmarkEnd w:id="23"/>
    <w:p>
      <w:pPr>
        <w:pStyle w:val="56"/>
        <w:ind w:firstLine="420"/>
        <w:sectPr>
          <w:pgSz w:w="11906" w:h="16838"/>
          <w:pgMar w:top="1928" w:right="1134" w:bottom="1134" w:left="1134" w:header="1418" w:footer="1134" w:gutter="284"/>
          <w:pgNumType w:start="1"/>
          <w:cols w:space="425" w:num="1"/>
          <w:formProt w:val="0"/>
          <w:docGrid w:type="lines" w:linePitch="312" w:charSpace="0"/>
        </w:sectPr>
      </w:pPr>
      <w:bookmarkStart w:id="148" w:name="BookMark6"/>
    </w:p>
    <w:p>
      <w:pPr>
        <w:pStyle w:val="63"/>
        <w:spacing w:after="156"/>
      </w:pPr>
      <w:bookmarkStart w:id="149" w:name="_Toc132788718"/>
      <w:bookmarkStart w:id="150" w:name="_Toc134465505"/>
      <w:r>
        <w:rPr>
          <w:rFonts w:hint="eastAsia"/>
          <w:spacing w:val="105"/>
        </w:rPr>
        <w:t>参考文</w:t>
      </w:r>
      <w:r>
        <w:rPr>
          <w:rFonts w:hint="eastAsia"/>
        </w:rPr>
        <w:t>献</w:t>
      </w:r>
      <w:bookmarkEnd w:id="149"/>
      <w:bookmarkEnd w:id="150"/>
    </w:p>
    <w:p>
      <w:pPr>
        <w:pStyle w:val="56"/>
        <w:ind w:firstLine="420"/>
        <w:rPr>
          <w:highlight w:val="yellow"/>
        </w:rPr>
      </w:pPr>
    </w:p>
    <w:p>
      <w:pPr>
        <w:pStyle w:val="56"/>
        <w:ind w:firstLine="420"/>
      </w:pPr>
      <w:r>
        <w:rPr>
          <w:rFonts w:hint="eastAsia"/>
        </w:rPr>
        <w:t>[</w:t>
      </w:r>
      <w:r>
        <w:t xml:space="preserve">1] </w:t>
      </w:r>
      <w:r>
        <w:rPr>
          <w:rFonts w:hint="eastAsia"/>
        </w:rPr>
        <w:t>《北京市物流专项规划》</w:t>
      </w:r>
    </w:p>
    <w:p>
      <w:pPr>
        <w:pStyle w:val="56"/>
        <w:ind w:firstLine="420"/>
      </w:pPr>
      <w:r>
        <w:rPr>
          <w:rFonts w:hint="eastAsia"/>
        </w:rPr>
        <w:t>[2</w:t>
      </w:r>
      <w:r>
        <w:t xml:space="preserve">] </w:t>
      </w:r>
      <w:r>
        <w:rPr>
          <w:rFonts w:hint="eastAsia"/>
        </w:rPr>
        <w:t>《城市绿色货运配送示范工程绩效考核评分细则》</w:t>
      </w:r>
    </w:p>
    <w:p>
      <w:pPr>
        <w:pStyle w:val="56"/>
        <w:ind w:firstLine="420"/>
      </w:pPr>
      <w:r>
        <w:t xml:space="preserve">[3] </w:t>
      </w:r>
      <w:r>
        <w:rPr>
          <w:rFonts w:hint="eastAsia"/>
        </w:rPr>
        <w:t>《县域商业建设指南》</w:t>
      </w:r>
    </w:p>
    <w:p>
      <w:pPr>
        <w:pStyle w:val="56"/>
        <w:ind w:firstLine="420"/>
      </w:pPr>
      <w:r>
        <w:t xml:space="preserve">[4]  </w:t>
      </w:r>
      <w:r>
        <w:rPr>
          <w:rFonts w:hint="eastAsia"/>
        </w:rPr>
        <w:t>JT/T 402-2016 《公路货运站站级标准级建设要求》</w:t>
      </w:r>
    </w:p>
    <w:p>
      <w:pPr>
        <w:pStyle w:val="56"/>
        <w:ind w:firstLine="420"/>
      </w:pPr>
      <w:r>
        <w:rPr>
          <w:rFonts w:hint="eastAsia"/>
        </w:rPr>
        <w:t>[</w:t>
      </w:r>
      <w:r>
        <w:t xml:space="preserve">5]  </w:t>
      </w:r>
      <w:r>
        <w:rPr>
          <w:rFonts w:hint="eastAsia"/>
        </w:rPr>
        <w:t>GB</w:t>
      </w:r>
      <w:r>
        <w:t xml:space="preserve"> 51157-2016</w:t>
      </w:r>
      <w:r>
        <w:rPr>
          <w:rFonts w:hint="eastAsia"/>
        </w:rPr>
        <w:t>《物流建筑设计规范》</w:t>
      </w:r>
    </w:p>
    <w:p>
      <w:pPr>
        <w:pStyle w:val="56"/>
        <w:ind w:firstLine="420"/>
      </w:pPr>
    </w:p>
    <w:p>
      <w:pPr>
        <w:pStyle w:val="56"/>
        <w:ind w:firstLine="420"/>
      </w:pPr>
    </w:p>
    <w:bookmarkEnd w:id="148"/>
    <w:p>
      <w:pPr>
        <w:pStyle w:val="56"/>
        <w:ind w:firstLine="0" w:firstLineChars="0"/>
        <w:jc w:val="center"/>
      </w:pPr>
      <w:bookmarkStart w:id="151"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1"/>
    </w:p>
    <w:sectPr>
      <w:pgSz w:w="11906" w:h="16838"/>
      <w:pgMar w:top="1928"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1zOl2uyLoPzQ91Odvj4Af66QLn1bu5QJNXBxNCR2X+zk599jpAd/yLao+vSt6UnWQLyfvgNyDkX+4MAZoVuc8w==" w:salt="ESo8PKtgQm+pDT4r4+FS8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FE3D1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0ABB"/>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7B8"/>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37F2"/>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5C4C"/>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0FFF"/>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65FF2"/>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21655"/>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4E0"/>
    <w:rsid w:val="004D076D"/>
    <w:rsid w:val="004D0EF1"/>
    <w:rsid w:val="004D2253"/>
    <w:rsid w:val="004D4406"/>
    <w:rsid w:val="004D6322"/>
    <w:rsid w:val="004D7C42"/>
    <w:rsid w:val="004E0465"/>
    <w:rsid w:val="004E127B"/>
    <w:rsid w:val="004E1C0A"/>
    <w:rsid w:val="004E30C5"/>
    <w:rsid w:val="004E4AA5"/>
    <w:rsid w:val="004E4AEE"/>
    <w:rsid w:val="004E59E3"/>
    <w:rsid w:val="004E67C0"/>
    <w:rsid w:val="004F1543"/>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A7C"/>
    <w:rsid w:val="00551F6F"/>
    <w:rsid w:val="00555044"/>
    <w:rsid w:val="00561475"/>
    <w:rsid w:val="0056487B"/>
    <w:rsid w:val="00564FB9"/>
    <w:rsid w:val="00573D9E"/>
    <w:rsid w:val="005801E3"/>
    <w:rsid w:val="00581802"/>
    <w:rsid w:val="005836A8"/>
    <w:rsid w:val="00584262"/>
    <w:rsid w:val="00586630"/>
    <w:rsid w:val="00587ADD"/>
    <w:rsid w:val="00592242"/>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B7F8A"/>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2EF6"/>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6C18"/>
    <w:rsid w:val="00697AFD"/>
    <w:rsid w:val="006A07AA"/>
    <w:rsid w:val="006A25E5"/>
    <w:rsid w:val="006A2B46"/>
    <w:rsid w:val="006A336D"/>
    <w:rsid w:val="006A37B9"/>
    <w:rsid w:val="006B2672"/>
    <w:rsid w:val="006B3299"/>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1701"/>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0E0"/>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02"/>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9F4EF6"/>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6867"/>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33B3"/>
    <w:rsid w:val="00B758BF"/>
    <w:rsid w:val="00B827A6"/>
    <w:rsid w:val="00B831CE"/>
    <w:rsid w:val="00B86677"/>
    <w:rsid w:val="00B87131"/>
    <w:rsid w:val="00B9127B"/>
    <w:rsid w:val="00B91566"/>
    <w:rsid w:val="00B9320C"/>
    <w:rsid w:val="00B939B1"/>
    <w:rsid w:val="00B96D40"/>
    <w:rsid w:val="00B97386"/>
    <w:rsid w:val="00BA1F5F"/>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05FCD"/>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549C4"/>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0823"/>
    <w:rsid w:val="00DC3067"/>
    <w:rsid w:val="00DC370B"/>
    <w:rsid w:val="00DC55E6"/>
    <w:rsid w:val="00DC5B90"/>
    <w:rsid w:val="00DD00F2"/>
    <w:rsid w:val="00DD00FF"/>
    <w:rsid w:val="00DD0619"/>
    <w:rsid w:val="00DD07FB"/>
    <w:rsid w:val="00DD25C6"/>
    <w:rsid w:val="00DD54B0"/>
    <w:rsid w:val="00DD57EE"/>
    <w:rsid w:val="00DD6BCC"/>
    <w:rsid w:val="00DE0A4B"/>
    <w:rsid w:val="00DE15C3"/>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3C00"/>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0D76"/>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893"/>
    <w:rsid w:val="00F84934"/>
    <w:rsid w:val="00F84FD0"/>
    <w:rsid w:val="00F859A8"/>
    <w:rsid w:val="00F9108B"/>
    <w:rsid w:val="00F91349"/>
    <w:rsid w:val="00F93A8A"/>
    <w:rsid w:val="00F95248"/>
    <w:rsid w:val="00F956A9"/>
    <w:rsid w:val="00F963ED"/>
    <w:rsid w:val="00F966CF"/>
    <w:rsid w:val="00F96CAE"/>
    <w:rsid w:val="00F97C99"/>
    <w:rsid w:val="00FA5DE0"/>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D11"/>
    <w:rsid w:val="00FE4BCE"/>
    <w:rsid w:val="00FE54AE"/>
    <w:rsid w:val="00FE576A"/>
    <w:rsid w:val="00FE61CF"/>
    <w:rsid w:val="00FE7E79"/>
    <w:rsid w:val="00FF3E7D"/>
    <w:rsid w:val="00FF5B99"/>
    <w:rsid w:val="00FF730C"/>
    <w:rsid w:val="00FF73F4"/>
    <w:rsid w:val="00FF7CE4"/>
    <w:rsid w:val="00FF7E39"/>
    <w:rsid w:val="01A32E0F"/>
    <w:rsid w:val="03860C84"/>
    <w:rsid w:val="03CE0317"/>
    <w:rsid w:val="20983449"/>
    <w:rsid w:val="263B48E4"/>
    <w:rsid w:val="305709A3"/>
    <w:rsid w:val="3B816C19"/>
    <w:rsid w:val="46E028D9"/>
    <w:rsid w:val="574A7B3B"/>
    <w:rsid w:val="5B4F5B6D"/>
    <w:rsid w:val="687F1FF7"/>
    <w:rsid w:val="6BA0749A"/>
    <w:rsid w:val="72FF52FB"/>
    <w:rsid w:val="7C5F3F3F"/>
    <w:rsid w:val="7F2D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6">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character" w:styleId="27">
    <w:name w:val="Strong"/>
    <w:qFormat/>
    <w:uiPriority w:val="22"/>
    <w:rPr>
      <w:b/>
      <w:bCs/>
    </w:rPr>
  </w:style>
  <w:style w:type="character" w:styleId="28">
    <w:name w:val="page number"/>
    <w:qFormat/>
    <w:uiPriority w:val="0"/>
    <w:rPr>
      <w:rFonts w:ascii="宋体" w:hAnsi="Times New Roman" w:eastAsia="宋体"/>
      <w:sz w:val="18"/>
    </w:rPr>
  </w:style>
  <w:style w:type="character" w:styleId="29">
    <w:name w:val="Emphasis"/>
    <w:qFormat/>
    <w:uiPriority w:val="20"/>
    <w:rPr>
      <w:i/>
      <w:iCs/>
    </w:rPr>
  </w:style>
  <w:style w:type="character" w:styleId="30">
    <w:name w:val="Hyperlink"/>
    <w:qFormat/>
    <w:uiPriority w:val="99"/>
    <w:rPr>
      <w:rFonts w:ascii="宋体" w:hAnsi="Times New Roman" w:eastAsia="宋体"/>
      <w:color w:val="auto"/>
      <w:spacing w:val="0"/>
      <w:w w:val="100"/>
      <w:position w:val="0"/>
      <w:sz w:val="21"/>
      <w:u w:val="none"/>
      <w:vertAlign w:val="baseline"/>
    </w:rPr>
  </w:style>
  <w:style w:type="character" w:styleId="31">
    <w:name w:val="footnote reference"/>
    <w:semiHidden/>
    <w:qFormat/>
    <w:uiPriority w:val="0"/>
    <w:rPr>
      <w:rFonts w:ascii="宋体" w:hAnsi="宋体" w:eastAsia="宋体" w:cs="Times New Roman"/>
      <w:spacing w:val="0"/>
      <w:sz w:val="18"/>
      <w:vertAlign w:val="superscript"/>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6"/>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6"/>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CD279CE60F74DA0A6D22EB8DC67BB02"/>
        <w:style w:val=""/>
        <w:category>
          <w:name w:val="常规"/>
          <w:gallery w:val="placeholder"/>
        </w:category>
        <w:types>
          <w:type w:val="bbPlcHdr"/>
        </w:types>
        <w:behaviors>
          <w:behavior w:val="content"/>
        </w:behaviors>
        <w:description w:val=""/>
        <w:guid w:val="{BB6749EE-3A56-415A-B891-F831940D8D90}"/>
      </w:docPartPr>
      <w:docPartBody>
        <w:p>
          <w:pPr>
            <w:pStyle w:val="5"/>
          </w:pPr>
          <w:r>
            <w:rPr>
              <w:rStyle w:val="4"/>
              <w:rFonts w:hint="eastAsia"/>
            </w:rPr>
            <w:t>单击或点击此处输入文字。</w:t>
          </w:r>
        </w:p>
      </w:docPartBody>
    </w:docPart>
    <w:docPart>
      <w:docPartPr>
        <w:name w:val="9C3D2BD1664342B4900F8C36EC357508"/>
        <w:style w:val=""/>
        <w:category>
          <w:name w:val="常规"/>
          <w:gallery w:val="placeholder"/>
        </w:category>
        <w:types>
          <w:type w:val="bbPlcHdr"/>
        </w:types>
        <w:behaviors>
          <w:behavior w:val="content"/>
        </w:behaviors>
        <w:description w:val=""/>
        <w:guid w:val="{09416DDA-E458-44C6-BC94-2DB20DE4D4BB}"/>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B0"/>
    <w:rsid w:val="001035AA"/>
    <w:rsid w:val="0027086F"/>
    <w:rsid w:val="002977B0"/>
    <w:rsid w:val="003E409C"/>
    <w:rsid w:val="00507504"/>
    <w:rsid w:val="00950266"/>
    <w:rsid w:val="00AE387B"/>
    <w:rsid w:val="00F40C85"/>
    <w:rsid w:val="00FE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CD279CE60F74DA0A6D22EB8DC67BB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C3D2BD1664342B4900F8C36EC35750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30EFA-3F40-4753-8853-532FE0C59DF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8</Pages>
  <Words>861</Words>
  <Characters>4914</Characters>
  <Lines>40</Lines>
  <Paragraphs>11</Paragraphs>
  <TotalTime>26</TotalTime>
  <ScaleCrop>false</ScaleCrop>
  <LinksUpToDate>false</LinksUpToDate>
  <CharactersWithSpaces>5764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2023-05-08T11:12:00Z</dcterms:created>
  <dc:creator>王唯</dc:creator>
  <dc:description>&lt;config cover="true" show_menu="true" version="1.0.0" doctype="SDKXY"&gt;_x000d_
&lt;/config&gt;</dc:description>
  <cp:lastModifiedBy>urer</cp:lastModifiedBy>
  <cp:lastPrinted>2021-02-02T07:44:00Z</cp:lastPrinted>
  <dcterms:modified xsi:type="dcterms:W3CDTF">2023-05-12T02:35:31Z</dcterms:modified>
  <dc:title>国家标准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2052-10.8.2.7027</vt:lpwstr>
  </property>
  <property fmtid="{D5CDD505-2E9C-101B-9397-08002B2CF9AE}" pid="15" name="ICV">
    <vt:lpwstr>81ED3E23331740A182C25B4E5B3119D7_12</vt:lpwstr>
  </property>
</Properties>
</file>